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69" w:rsidRDefault="00006569">
      <w:pPr>
        <w:pStyle w:val="Style1"/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</w:p>
    <w:p w:rsidR="00006569" w:rsidRDefault="00006569">
      <w:pPr>
        <w:pStyle w:val="Style1"/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</w:p>
    <w:p w:rsidR="00006569" w:rsidRDefault="00006569">
      <w:pPr>
        <w:pStyle w:val="Style1"/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</w:p>
    <w:p w:rsidR="00006569" w:rsidRDefault="00006569">
      <w:pPr>
        <w:pStyle w:val="Style1"/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>RESOLUCION TAT-No. 2328-2014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54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EA3869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once horas del veinticuatro de julio de dos mil catorce.</w:t>
      </w:r>
    </w:p>
    <w:p w:rsidR="00C217B7" w:rsidRDefault="00C217B7" w:rsidP="00EA3869">
      <w:pPr>
        <w:pStyle w:val="Style1"/>
        <w:kinsoku w:val="0"/>
        <w:overflowPunct w:val="0"/>
        <w:autoSpaceDE/>
        <w:autoSpaceDN/>
        <w:adjustRightInd/>
        <w:spacing w:before="775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pacing w:val="4"/>
          <w:sz w:val="17"/>
          <w:szCs w:val="17"/>
        </w:rPr>
        <w:t xml:space="preserve">RECURSO DE REVOCATORIA, </w:t>
      </w:r>
      <w:r>
        <w:rPr>
          <w:rStyle w:val="CharacterStyle1"/>
          <w:rFonts w:ascii="Verdana" w:hAnsi="Verdana" w:cs="Verdana"/>
          <w:spacing w:val="4"/>
        </w:rPr>
        <w:t xml:space="preserve">interpuesto por </w:t>
      </w:r>
      <w:r w:rsidR="00EA3869">
        <w:rPr>
          <w:rStyle w:val="CharacterStyle1"/>
          <w:rFonts w:ascii="Verdana" w:hAnsi="Verdana" w:cs="Verdana"/>
          <w:spacing w:val="4"/>
        </w:rPr>
        <w:t>l</w:t>
      </w:r>
      <w:r>
        <w:rPr>
          <w:rStyle w:val="CharacterStyle1"/>
          <w:rFonts w:ascii="Verdana" w:hAnsi="Verdana" w:cs="Verdana"/>
          <w:spacing w:val="4"/>
        </w:rPr>
        <w:t xml:space="preserve">a </w:t>
      </w:r>
      <w:r w:rsidR="00EA3869">
        <w:rPr>
          <w:rStyle w:val="CharacterStyle1"/>
          <w:rFonts w:ascii="Verdana" w:hAnsi="Verdana" w:cs="Verdana"/>
          <w:spacing w:val="4"/>
        </w:rPr>
        <w:t>señora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>
        <w:rPr>
          <w:rStyle w:val="CharacterStyle1"/>
          <w:b/>
          <w:bCs/>
          <w:spacing w:val="4"/>
          <w:sz w:val="19"/>
          <w:szCs w:val="19"/>
        </w:rPr>
        <w:t>H</w:t>
      </w:r>
      <w:r w:rsidR="00EA3869">
        <w:rPr>
          <w:rStyle w:val="CharacterStyle1"/>
          <w:b/>
          <w:bCs/>
          <w:spacing w:val="4"/>
          <w:sz w:val="19"/>
          <w:szCs w:val="19"/>
        </w:rPr>
        <w:t>.</w:t>
      </w:r>
      <w:r>
        <w:rPr>
          <w:rStyle w:val="CharacterStyle1"/>
          <w:b/>
          <w:bCs/>
          <w:spacing w:val="4"/>
          <w:sz w:val="19"/>
          <w:szCs w:val="19"/>
        </w:rPr>
        <w:t>S</w:t>
      </w:r>
      <w:r w:rsidR="00EA3869">
        <w:rPr>
          <w:rStyle w:val="CharacterStyle1"/>
          <w:b/>
          <w:bCs/>
          <w:spacing w:val="4"/>
          <w:sz w:val="19"/>
          <w:szCs w:val="19"/>
        </w:rPr>
        <w:t>.</w:t>
      </w:r>
      <w:r>
        <w:rPr>
          <w:rStyle w:val="CharacterStyle1"/>
          <w:b/>
          <w:bCs/>
          <w:spacing w:val="4"/>
          <w:sz w:val="19"/>
          <w:szCs w:val="19"/>
        </w:rPr>
        <w:t>M</w:t>
      </w:r>
      <w:r w:rsidR="00EA3869">
        <w:rPr>
          <w:rStyle w:val="CharacterStyle1"/>
          <w:b/>
          <w:bCs/>
          <w:spacing w:val="4"/>
          <w:sz w:val="19"/>
          <w:szCs w:val="19"/>
        </w:rPr>
        <w:t>.</w:t>
      </w:r>
      <w:r>
        <w:rPr>
          <w:rStyle w:val="CharacterStyle1"/>
          <w:b/>
          <w:bCs/>
          <w:spacing w:val="4"/>
          <w:sz w:val="19"/>
          <w:szCs w:val="19"/>
        </w:rPr>
        <w:t xml:space="preserve">, </w:t>
      </w:r>
      <w:r w:rsidR="00006569">
        <w:rPr>
          <w:rStyle w:val="CharacterStyle1"/>
          <w:rFonts w:ascii="Verdana" w:hAnsi="Verdana" w:cs="Verdana"/>
          <w:spacing w:val="4"/>
        </w:rPr>
        <w:t>cé</w:t>
      </w:r>
      <w:r>
        <w:rPr>
          <w:rStyle w:val="CharacterStyle1"/>
          <w:rFonts w:ascii="Verdana" w:hAnsi="Verdana" w:cs="Verdana"/>
          <w:spacing w:val="4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  <w:spacing w:val="4"/>
        </w:rPr>
        <w:t>n</w:t>
      </w:r>
      <w:r w:rsidR="00EA3869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 xml:space="preserve">mero </w:t>
      </w:r>
      <w:r w:rsidR="00006569">
        <w:rPr>
          <w:rStyle w:val="CharacterStyle1"/>
          <w:rFonts w:ascii="Verdana" w:hAnsi="Verdana" w:cs="Verdana"/>
          <w:spacing w:val="4"/>
        </w:rPr>
        <w:t>…</w:t>
      </w:r>
      <w:proofErr w:type="gramEnd"/>
      <w:r>
        <w:rPr>
          <w:rStyle w:val="CharacterStyle1"/>
          <w:rFonts w:ascii="Verdana" w:hAnsi="Verdana" w:cs="Verdana"/>
          <w:spacing w:val="4"/>
        </w:rPr>
        <w:t xml:space="preserve">, en su </w:t>
      </w:r>
      <w:r w:rsidR="00EA3869">
        <w:rPr>
          <w:rStyle w:val="CharacterStyle1"/>
          <w:rFonts w:ascii="Verdana" w:hAnsi="Verdana" w:cs="Verdana"/>
          <w:spacing w:val="4"/>
        </w:rPr>
        <w:t>condición</w:t>
      </w:r>
      <w:r>
        <w:rPr>
          <w:rStyle w:val="CharacterStyle1"/>
          <w:rFonts w:ascii="Verdana" w:hAnsi="Verdana" w:cs="Verdana"/>
          <w:spacing w:val="4"/>
        </w:rPr>
        <w:t xml:space="preserve"> de Apoderada </w:t>
      </w:r>
      <w:r w:rsidR="00EA3869">
        <w:rPr>
          <w:rStyle w:val="CharacterStyle1"/>
          <w:rFonts w:ascii="Verdana" w:hAnsi="Verdana" w:cs="Verdana"/>
          <w:spacing w:val="4"/>
        </w:rPr>
        <w:t>Generalísima</w:t>
      </w:r>
      <w:r>
        <w:rPr>
          <w:rStyle w:val="CharacterStyle1"/>
          <w:rFonts w:ascii="Verdana" w:hAnsi="Verdana" w:cs="Verdana"/>
          <w:spacing w:val="4"/>
        </w:rPr>
        <w:t xml:space="preserve"> sin </w:t>
      </w:r>
      <w:r w:rsidR="00EA3869">
        <w:rPr>
          <w:rStyle w:val="CharacterStyle1"/>
          <w:rFonts w:ascii="Verdana" w:hAnsi="Verdana" w:cs="Verdana"/>
          <w:spacing w:val="4"/>
        </w:rPr>
        <w:t>Límite</w:t>
      </w:r>
      <w:r>
        <w:rPr>
          <w:rStyle w:val="CharacterStyle1"/>
          <w:rFonts w:ascii="Verdana" w:hAnsi="Verdana" w:cs="Verdana"/>
          <w:spacing w:val="4"/>
        </w:rPr>
        <w:t xml:space="preserve"> de Suma de </w:t>
      </w:r>
      <w:r w:rsidR="00EA3869">
        <w:rPr>
          <w:rStyle w:val="CharacterStyle1"/>
          <w:rFonts w:ascii="Verdana" w:hAnsi="Verdana" w:cs="Verdana"/>
          <w:spacing w:val="4"/>
        </w:rPr>
        <w:t>l</w:t>
      </w:r>
      <w:r>
        <w:rPr>
          <w:rStyle w:val="CharacterStyle1"/>
          <w:rFonts w:ascii="Verdana" w:hAnsi="Verdana" w:cs="Verdana"/>
          <w:spacing w:val="4"/>
        </w:rPr>
        <w:t xml:space="preserve">a Empresa </w:t>
      </w:r>
      <w:r>
        <w:rPr>
          <w:rStyle w:val="CharacterStyle1"/>
          <w:rFonts w:ascii="Verdana" w:hAnsi="Verdana" w:cs="Verdana"/>
          <w:b/>
          <w:bCs/>
          <w:spacing w:val="4"/>
        </w:rPr>
        <w:t>M</w:t>
      </w:r>
      <w:r w:rsidR="00EA3869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>D</w:t>
      </w:r>
      <w:r w:rsidR="00EA3869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>L</w:t>
      </w:r>
      <w:r w:rsidR="00EA3869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>L</w:t>
      </w:r>
      <w:r w:rsidR="00EA3869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>D</w:t>
      </w:r>
      <w:r w:rsidR="00EA3869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>S</w:t>
      </w:r>
      <w:r w:rsidR="00EA3869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 xml:space="preserve">S.A., </w:t>
      </w:r>
      <w:r w:rsidR="00EA3869">
        <w:rPr>
          <w:rStyle w:val="CharacterStyle1"/>
          <w:rFonts w:ascii="Verdana" w:hAnsi="Verdana" w:cs="Verdana"/>
          <w:spacing w:val="4"/>
        </w:rPr>
        <w:t>contra l</w:t>
      </w:r>
      <w:r>
        <w:rPr>
          <w:rStyle w:val="CharacterStyle1"/>
          <w:rFonts w:ascii="Verdana" w:hAnsi="Verdana" w:cs="Verdana"/>
          <w:spacing w:val="4"/>
        </w:rPr>
        <w:t xml:space="preserve">a </w:t>
      </w:r>
      <w:r w:rsidR="00EA3869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del Tribunal Administrativo de Transporte n</w:t>
      </w:r>
      <w:r w:rsidR="00EA3869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>mero TAT-2263-2014 de las doce horas del doce de junio del</w:t>
      </w:r>
      <w:r w:rsidR="00EA3869">
        <w:rPr>
          <w:rStyle w:val="CharacterStyle1"/>
          <w:rFonts w:ascii="Verdana" w:hAnsi="Verdana" w:cs="Verdana"/>
          <w:spacing w:val="4"/>
        </w:rPr>
        <w:t xml:space="preserve"> </w:t>
      </w:r>
      <w:r w:rsidR="00EA3869">
        <w:rPr>
          <w:rStyle w:val="CharacterStyle1"/>
          <w:rFonts w:ascii="Verdana" w:hAnsi="Verdana" w:cs="Verdana"/>
        </w:rPr>
        <w:t xml:space="preserve">dos mil catorce. </w:t>
      </w:r>
      <w:r>
        <w:rPr>
          <w:rStyle w:val="CharacterStyle1"/>
          <w:rFonts w:ascii="Verdana" w:hAnsi="Verdana" w:cs="Verdana"/>
        </w:rPr>
        <w:t>El presente caso es tramitado en este despacho bajo</w:t>
      </w:r>
      <w:r w:rsidR="00EA3869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</w:rPr>
        <w:t xml:space="preserve">Expediente Administrativo No. </w:t>
      </w:r>
      <w:r w:rsidR="00EA3869">
        <w:rPr>
          <w:rStyle w:val="CharacterStyle1"/>
          <w:rFonts w:ascii="Verdana" w:hAnsi="Verdana" w:cs="Verdana"/>
          <w:b/>
          <w:bCs/>
        </w:rPr>
        <w:t xml:space="preserve">                  </w:t>
      </w:r>
      <w:r>
        <w:rPr>
          <w:rStyle w:val="CharacterStyle1"/>
          <w:rFonts w:ascii="Verdana" w:hAnsi="Verdana" w:cs="Verdana"/>
          <w:b/>
          <w:bCs/>
        </w:rPr>
        <w:t>TAT-087-14.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58" w:line="255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Juez Portuguez </w:t>
      </w:r>
      <w:r w:rsidR="00EA3869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64" w:line="242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61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55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El Recurso Presentado es improcedente y debe rechazarse Ad Portas, por las razones que de seguido se indican: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68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 w:rsidR="00EA3869">
        <w:rPr>
          <w:rStyle w:val="CharacterStyle1"/>
          <w:rFonts w:ascii="Verdana" w:hAnsi="Verdana" w:cs="Verdana"/>
          <w:spacing w:val="4"/>
        </w:rPr>
        <w:t>artículo 22 de la Ley Reguladora del Servicio Pú</w:t>
      </w:r>
      <w:r>
        <w:rPr>
          <w:rStyle w:val="CharacterStyle1"/>
          <w:rFonts w:ascii="Verdana" w:hAnsi="Verdana" w:cs="Verdana"/>
          <w:spacing w:val="4"/>
        </w:rPr>
        <w:t>blic</w:t>
      </w:r>
      <w:r w:rsidR="00EA3869">
        <w:rPr>
          <w:rStyle w:val="CharacterStyle1"/>
          <w:rFonts w:ascii="Verdana" w:hAnsi="Verdana" w:cs="Verdana"/>
          <w:spacing w:val="4"/>
        </w:rPr>
        <w:t>o</w:t>
      </w:r>
      <w:r>
        <w:rPr>
          <w:rStyle w:val="CharacterStyle1"/>
          <w:rFonts w:ascii="Verdana" w:hAnsi="Verdana" w:cs="Verdana"/>
          <w:spacing w:val="4"/>
        </w:rPr>
        <w:t xml:space="preserve"> de Transporte Remunerado de Personas en </w:t>
      </w:r>
      <w:r w:rsidR="00EA3869">
        <w:rPr>
          <w:rStyle w:val="CharacterStyle1"/>
          <w:rFonts w:ascii="Verdana" w:hAnsi="Verdana" w:cs="Verdana"/>
          <w:spacing w:val="4"/>
        </w:rPr>
        <w:t>Vehículos en l</w:t>
      </w:r>
      <w:r>
        <w:rPr>
          <w:rStyle w:val="CharacterStyle1"/>
          <w:rFonts w:ascii="Verdana" w:hAnsi="Verdana" w:cs="Verdana"/>
          <w:spacing w:val="4"/>
        </w:rPr>
        <w:t>a Modalidad de Taxi, No. 7969 del 22 de dici</w:t>
      </w:r>
      <w:r w:rsidR="00EA3869">
        <w:rPr>
          <w:rStyle w:val="CharacterStyle1"/>
          <w:rFonts w:ascii="Verdana" w:hAnsi="Verdana" w:cs="Verdana"/>
          <w:spacing w:val="4"/>
        </w:rPr>
        <w:t>embre de 1999 y el Dictamen de l</w:t>
      </w:r>
      <w:r>
        <w:rPr>
          <w:rStyle w:val="CharacterStyle1"/>
          <w:rFonts w:ascii="Verdana" w:hAnsi="Verdana" w:cs="Verdana"/>
          <w:spacing w:val="4"/>
        </w:rPr>
        <w:t xml:space="preserve">a </w:t>
      </w:r>
      <w:r w:rsidR="00EA3869">
        <w:rPr>
          <w:rStyle w:val="CharacterStyle1"/>
          <w:rFonts w:ascii="Verdana" w:hAnsi="Verdana" w:cs="Verdana"/>
          <w:spacing w:val="4"/>
        </w:rPr>
        <w:t>Procuraduría</w:t>
      </w:r>
      <w:r>
        <w:rPr>
          <w:rStyle w:val="CharacterStyle1"/>
          <w:rFonts w:ascii="Verdana" w:hAnsi="Verdana" w:cs="Verdana"/>
          <w:spacing w:val="4"/>
        </w:rPr>
        <w:t xml:space="preserve"> General de la Republica No C-037-2000, del 25 de febrero del 2000, es competente para conocer y resolver los recursos de </w:t>
      </w:r>
      <w:r w:rsidR="00EA3869">
        <w:rPr>
          <w:rStyle w:val="CharacterStyle1"/>
          <w:rFonts w:ascii="Verdana" w:hAnsi="Verdana" w:cs="Verdana"/>
          <w:spacing w:val="4"/>
        </w:rPr>
        <w:t>apelación</w:t>
      </w:r>
      <w:r>
        <w:rPr>
          <w:rStyle w:val="CharacterStyle1"/>
          <w:rFonts w:ascii="Verdana" w:hAnsi="Verdana" w:cs="Verdana"/>
          <w:spacing w:val="4"/>
        </w:rPr>
        <w:t xml:space="preserve"> venidos en alzada en contra de los actos o resoluciones emanadas del Consejo de Transporte </w:t>
      </w:r>
      <w:r w:rsidR="00EA3869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. Esta normativa especializada, debe integrarse para su correcta </w:t>
      </w:r>
      <w:r w:rsidR="00EA3869">
        <w:rPr>
          <w:rStyle w:val="CharacterStyle1"/>
          <w:rFonts w:ascii="Verdana" w:hAnsi="Verdana" w:cs="Verdana"/>
          <w:spacing w:val="4"/>
        </w:rPr>
        <w:t>dimensión</w:t>
      </w:r>
      <w:r>
        <w:rPr>
          <w:rStyle w:val="CharacterStyle1"/>
          <w:rFonts w:ascii="Verdana" w:hAnsi="Verdana" w:cs="Verdana"/>
          <w:spacing w:val="4"/>
        </w:rPr>
        <w:t xml:space="preserve">, con el </w:t>
      </w:r>
      <w:r w:rsidR="00EA3869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181 de la Ley General de la Administraci6n Publica, </w:t>
      </w:r>
      <w:r w:rsidR="00EA3869">
        <w:rPr>
          <w:rStyle w:val="CharacterStyle1"/>
          <w:rFonts w:ascii="Verdana" w:hAnsi="Verdana" w:cs="Verdana"/>
          <w:spacing w:val="4"/>
        </w:rPr>
        <w:t>señala</w:t>
      </w:r>
      <w:r>
        <w:rPr>
          <w:rStyle w:val="CharacterStyle1"/>
          <w:rFonts w:ascii="Verdana" w:hAnsi="Verdana" w:cs="Verdana"/>
          <w:spacing w:val="4"/>
        </w:rPr>
        <w:t xml:space="preserve"> textualmente lo siguiente:</w:t>
      </w:r>
    </w:p>
    <w:p w:rsidR="00C217B7" w:rsidRDefault="00EA3869">
      <w:pPr>
        <w:pStyle w:val="Style1"/>
        <w:kinsoku w:val="0"/>
        <w:overflowPunct w:val="0"/>
        <w:autoSpaceDE/>
        <w:autoSpaceDN/>
        <w:adjustRightInd/>
        <w:spacing w:before="236" w:line="255" w:lineRule="exact"/>
        <w:ind w:left="576" w:right="720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Artí</w:t>
      </w:r>
      <w:r w:rsidR="00C217B7">
        <w:rPr>
          <w:rStyle w:val="CharacterStyle1"/>
          <w:rFonts w:ascii="Verdana" w:hAnsi="Verdana" w:cs="Verdana"/>
        </w:rPr>
        <w:t>culo</w:t>
      </w:r>
      <w:proofErr w:type="gramEnd"/>
      <w:r w:rsidR="00C217B7">
        <w:rPr>
          <w:rStyle w:val="CharacterStyle1"/>
          <w:rFonts w:ascii="Verdana" w:hAnsi="Verdana" w:cs="Verdana"/>
        </w:rPr>
        <w:t xml:space="preserve"> 181.- El Contralor no </w:t>
      </w:r>
      <w:r>
        <w:rPr>
          <w:rStyle w:val="CharacterStyle1"/>
          <w:rFonts w:ascii="Verdana" w:hAnsi="Verdana" w:cs="Verdana"/>
        </w:rPr>
        <w:t>jerárquico</w:t>
      </w:r>
      <w:r w:rsidR="00C217B7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>podrá</w:t>
      </w:r>
      <w:r w:rsidR="00C217B7"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>
        <w:rPr>
          <w:rStyle w:val="CharacterStyle1"/>
          <w:rFonts w:ascii="Verdana" w:hAnsi="Verdana" w:cs="Verdana"/>
        </w:rPr>
        <w:t>decidirá</w:t>
      </w:r>
      <w:r w:rsidR="00C217B7">
        <w:rPr>
          <w:rStyle w:val="CharacterStyle1"/>
          <w:rFonts w:ascii="Verdana" w:hAnsi="Verdana" w:cs="Verdana"/>
        </w:rPr>
        <w:t xml:space="preserve"> dentro del </w:t>
      </w:r>
      <w:r>
        <w:rPr>
          <w:rStyle w:val="CharacterStyle1"/>
          <w:rFonts w:ascii="Verdana" w:hAnsi="Verdana" w:cs="Verdana"/>
        </w:rPr>
        <w:t>límite</w:t>
      </w:r>
      <w:r w:rsidR="00C217B7"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>
        <w:rPr>
          <w:rStyle w:val="CharacterStyle1"/>
          <w:rFonts w:ascii="Verdana" w:hAnsi="Verdana" w:cs="Verdana"/>
        </w:rPr>
        <w:t>podrá</w:t>
      </w:r>
      <w:r w:rsidR="00C217B7"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527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EA3869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mas recursos y </w:t>
      </w:r>
      <w:r w:rsidR="00EA3869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EA3869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</w:t>
      </w:r>
      <w:r w:rsidR="00EA3869">
        <w:rPr>
          <w:rStyle w:val="CharacterStyle1"/>
          <w:rFonts w:ascii="Verdana" w:hAnsi="Verdana" w:cs="Verdana"/>
          <w:i/>
          <w:iCs/>
          <w:u w:val="single"/>
        </w:rPr>
        <w:t>administrativa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 </w:t>
      </w:r>
      <w:r>
        <w:rPr>
          <w:rStyle w:val="CharacterStyle1"/>
          <w:rFonts w:ascii="Verdana" w:hAnsi="Verdana" w:cs="Verdana"/>
        </w:rPr>
        <w:t xml:space="preserve"> (el resaltado es nuestro), por lo que el Tribunal, debe proceder al rechazo del</w:t>
      </w:r>
    </w:p>
    <w:p w:rsidR="00C217B7" w:rsidRDefault="00C217B7">
      <w:pPr>
        <w:widowControl/>
        <w:kinsoku/>
        <w:overflowPunct/>
        <w:autoSpaceDE w:val="0"/>
        <w:autoSpaceDN w:val="0"/>
        <w:adjustRightInd w:val="0"/>
        <w:textAlignment w:val="auto"/>
        <w:sectPr w:rsidR="00C217B7">
          <w:pgSz w:w="12120" w:h="15840"/>
          <w:pgMar w:top="191" w:right="1944" w:bottom="277" w:left="1996" w:header="720" w:footer="720" w:gutter="0"/>
          <w:cols w:space="720"/>
          <w:noEndnote/>
        </w:sectPr>
      </w:pP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13" w:line="250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recurso</w:t>
      </w:r>
      <w:proofErr w:type="gramEnd"/>
      <w:r>
        <w:rPr>
          <w:rStyle w:val="CharacterStyle1"/>
          <w:rFonts w:ascii="Verdana" w:hAnsi="Verdana" w:cs="Verdana"/>
        </w:rPr>
        <w:t xml:space="preserve"> de Revocatoria que se presenta contra su propia </w:t>
      </w:r>
      <w:r w:rsidR="00EA3869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45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5"/>
        </w:rPr>
      </w:pPr>
      <w:r>
        <w:rPr>
          <w:rStyle w:val="CharacterStyle1"/>
          <w:rFonts w:ascii="Verdana" w:hAnsi="Verdana" w:cs="Verdana"/>
          <w:spacing w:val="5"/>
        </w:rPr>
        <w:t xml:space="preserve">El recurrente presenta un recurso de Revocatoria en contra de una </w:t>
      </w:r>
      <w:r w:rsidR="00EA3869">
        <w:rPr>
          <w:rStyle w:val="CharacterStyle1"/>
          <w:rFonts w:ascii="Verdana" w:hAnsi="Verdana" w:cs="Verdana"/>
          <w:spacing w:val="5"/>
        </w:rPr>
        <w:t>resolución</w:t>
      </w:r>
      <w:r>
        <w:rPr>
          <w:rStyle w:val="CharacterStyle1"/>
          <w:rFonts w:ascii="Verdana" w:hAnsi="Verdana" w:cs="Verdana"/>
          <w:spacing w:val="5"/>
        </w:rPr>
        <w:t xml:space="preserve"> emanada de este despacho, por lo que el mismo deviene en improcedente ya que de acuerdo con lo indicado en el </w:t>
      </w:r>
      <w:r w:rsidR="00EA3869">
        <w:rPr>
          <w:rStyle w:val="CharacterStyle1"/>
          <w:rFonts w:ascii="Verdana" w:hAnsi="Verdana" w:cs="Verdana"/>
          <w:spacing w:val="5"/>
        </w:rPr>
        <w:t>párrafo</w:t>
      </w:r>
      <w:r>
        <w:rPr>
          <w:rStyle w:val="CharacterStyle1"/>
          <w:rFonts w:ascii="Verdana" w:hAnsi="Verdana" w:cs="Verdana"/>
          <w:spacing w:val="5"/>
        </w:rPr>
        <w:t xml:space="preserve"> precedente, </w:t>
      </w:r>
      <w:r w:rsidR="00EA3869">
        <w:rPr>
          <w:rStyle w:val="CharacterStyle1"/>
          <w:rFonts w:ascii="Verdana" w:hAnsi="Verdana" w:cs="Verdana"/>
          <w:spacing w:val="5"/>
        </w:rPr>
        <w:t>l</w:t>
      </w:r>
      <w:r>
        <w:rPr>
          <w:rStyle w:val="CharacterStyle1"/>
          <w:rFonts w:ascii="Verdana" w:hAnsi="Verdana" w:cs="Verdana"/>
          <w:spacing w:val="5"/>
        </w:rPr>
        <w:t xml:space="preserve">as resoluciones del Tribunal carecen de ulterior recurso, esto se sustenta aun mas, en el numeral 292 de la Ley General de la </w:t>
      </w:r>
      <w:r w:rsidR="00EA3869">
        <w:rPr>
          <w:rStyle w:val="CharacterStyle1"/>
          <w:rFonts w:ascii="Verdana" w:hAnsi="Verdana" w:cs="Verdana"/>
          <w:spacing w:val="5"/>
        </w:rPr>
        <w:t>Administración</w:t>
      </w:r>
      <w:r>
        <w:rPr>
          <w:rStyle w:val="CharacterStyle1"/>
          <w:rFonts w:ascii="Verdana" w:hAnsi="Verdana" w:cs="Verdana"/>
          <w:spacing w:val="5"/>
        </w:rPr>
        <w:t xml:space="preserve"> </w:t>
      </w:r>
      <w:r w:rsidR="00EA3869">
        <w:rPr>
          <w:rStyle w:val="CharacterStyle1"/>
          <w:rFonts w:ascii="Verdana" w:hAnsi="Verdana" w:cs="Verdana"/>
          <w:spacing w:val="5"/>
        </w:rPr>
        <w:t>Púb</w:t>
      </w:r>
      <w:r>
        <w:rPr>
          <w:rStyle w:val="CharacterStyle1"/>
          <w:rFonts w:ascii="Verdana" w:hAnsi="Verdana" w:cs="Verdana"/>
          <w:spacing w:val="5"/>
        </w:rPr>
        <w:t>lica que indica: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254" w:line="256" w:lineRule="exact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3"/>
        </w:rPr>
        <w:t>Articulo 292.</w:t>
      </w:r>
      <w:r>
        <w:rPr>
          <w:rStyle w:val="CharacterStyle1"/>
          <w:rFonts w:ascii="Verdana" w:hAnsi="Verdana" w:cs="Verdana"/>
          <w:spacing w:val="3"/>
        </w:rPr>
        <w:noBreakHyphen/>
      </w:r>
    </w:p>
    <w:p w:rsidR="00C217B7" w:rsidRDefault="00C217B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5"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EA3869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A3869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EA3869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C217B7" w:rsidRDefault="00C217B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4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administrativa no </w:t>
      </w:r>
      <w:r w:rsidR="00EA3869">
        <w:rPr>
          <w:rStyle w:val="CharacterStyle1"/>
          <w:rFonts w:ascii="Verdana" w:hAnsi="Verdana" w:cs="Verdana"/>
        </w:rPr>
        <w:t>estará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EA3869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EA3869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A3869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C217B7" w:rsidRDefault="00C217B7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8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EA3869">
        <w:rPr>
          <w:rStyle w:val="CharacterStyle1"/>
          <w:rFonts w:ascii="Verdana" w:hAnsi="Verdana" w:cs="Verdana"/>
          <w:b/>
          <w:bCs/>
        </w:rPr>
        <w:t>Administración</w:t>
      </w:r>
      <w:r>
        <w:rPr>
          <w:rStyle w:val="CharacterStyle1"/>
          <w:rFonts w:ascii="Verdana" w:hAnsi="Verdana" w:cs="Verdana"/>
          <w:b/>
          <w:bCs/>
        </w:rPr>
        <w:t xml:space="preserve"> rechazara de piano las peticiones que fueren </w:t>
      </w:r>
      <w:r w:rsidR="00EA3869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EA3869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que rechace de piano una </w:t>
      </w:r>
      <w:r w:rsidR="00EA3869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EA3869">
        <w:rPr>
          <w:rStyle w:val="CharacterStyle1"/>
          <w:rFonts w:ascii="Verdana" w:hAnsi="Verdana" w:cs="Verdana"/>
          <w:b/>
          <w:bCs/>
        </w:rPr>
        <w:t>tendrá los mismos recursos que l</w:t>
      </w:r>
      <w:r>
        <w:rPr>
          <w:rStyle w:val="CharacterStyle1"/>
          <w:rFonts w:ascii="Verdana" w:hAnsi="Verdana" w:cs="Verdana"/>
          <w:b/>
          <w:bCs/>
        </w:rPr>
        <w:t xml:space="preserve">a </w:t>
      </w:r>
      <w:r w:rsidR="00EA3869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C217B7" w:rsidRDefault="00C217B7">
      <w:pPr>
        <w:pStyle w:val="Style1"/>
        <w:kinsoku w:val="0"/>
        <w:overflowPunct w:val="0"/>
        <w:autoSpaceDE/>
        <w:autoSpaceDN/>
        <w:adjustRightInd/>
        <w:spacing w:before="496" w:line="258" w:lineRule="exact"/>
        <w:ind w:left="3312"/>
        <w:textAlignment w:val="baseline"/>
        <w:rPr>
          <w:rStyle w:val="CharacterStyle1"/>
          <w:rFonts w:ascii="Verdana" w:hAnsi="Verdana" w:cs="Verdana"/>
          <w:b/>
          <w:bCs/>
          <w:spacing w:val="1"/>
        </w:rPr>
      </w:pPr>
      <w:r>
        <w:rPr>
          <w:rStyle w:val="CharacterStyle1"/>
          <w:rFonts w:ascii="Verdana" w:hAnsi="Verdana" w:cs="Verdana"/>
          <w:b/>
          <w:bCs/>
          <w:spacing w:val="1"/>
        </w:rPr>
        <w:t>POR TANTO:</w:t>
      </w:r>
    </w:p>
    <w:p w:rsidR="00C217B7" w:rsidRDefault="00C217B7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4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1"/>
        </w:rPr>
      </w:pPr>
      <w:r>
        <w:rPr>
          <w:rStyle w:val="CharacterStyle1"/>
          <w:rFonts w:ascii="Verdana" w:hAnsi="Verdana" w:cs="Verdana"/>
          <w:spacing w:val="1"/>
        </w:rPr>
        <w:t>Se rechaza Ad Portas por improcedente, el RECURSO D</w:t>
      </w:r>
      <w:r w:rsidR="00EA3869">
        <w:rPr>
          <w:rStyle w:val="CharacterStyle1"/>
          <w:rFonts w:ascii="Verdana" w:hAnsi="Verdana" w:cs="Verdana"/>
          <w:spacing w:val="1"/>
        </w:rPr>
        <w:t>E REVOCATORIA, interpuesto por l</w:t>
      </w:r>
      <w:r>
        <w:rPr>
          <w:rStyle w:val="CharacterStyle1"/>
          <w:rFonts w:ascii="Verdana" w:hAnsi="Verdana" w:cs="Verdana"/>
          <w:spacing w:val="1"/>
        </w:rPr>
        <w:t xml:space="preserve">a </w:t>
      </w:r>
      <w:r w:rsidR="00EA3869">
        <w:rPr>
          <w:rStyle w:val="CharacterStyle1"/>
          <w:rFonts w:ascii="Verdana" w:hAnsi="Verdana" w:cs="Verdana"/>
          <w:spacing w:val="1"/>
        </w:rPr>
        <w:t>señora</w:t>
      </w:r>
      <w:r>
        <w:rPr>
          <w:rStyle w:val="CharacterStyle1"/>
          <w:rFonts w:ascii="Verdana" w:hAnsi="Verdana" w:cs="Verdana"/>
          <w:spacing w:val="1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"/>
        </w:rPr>
        <w:t>H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S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M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 xml:space="preserve">, </w:t>
      </w:r>
      <w:r w:rsidR="00006569">
        <w:rPr>
          <w:rStyle w:val="CharacterStyle1"/>
          <w:rFonts w:ascii="Verdana" w:hAnsi="Verdana" w:cs="Verdana"/>
          <w:spacing w:val="1"/>
        </w:rPr>
        <w:t>cé</w:t>
      </w:r>
      <w:r>
        <w:rPr>
          <w:rStyle w:val="CharacterStyle1"/>
          <w:rFonts w:ascii="Verdana" w:hAnsi="Verdana" w:cs="Verdana"/>
          <w:spacing w:val="1"/>
        </w:rPr>
        <w:t>dula de identidad n</w:t>
      </w:r>
      <w:r w:rsidR="00006569">
        <w:rPr>
          <w:rStyle w:val="CharacterStyle1"/>
          <w:rFonts w:ascii="Verdana" w:hAnsi="Verdana" w:cs="Verdana"/>
          <w:spacing w:val="1"/>
        </w:rPr>
        <w:t>ú</w:t>
      </w:r>
      <w:r>
        <w:rPr>
          <w:rStyle w:val="CharacterStyle1"/>
          <w:rFonts w:ascii="Verdana" w:hAnsi="Verdana" w:cs="Verdana"/>
          <w:spacing w:val="1"/>
        </w:rPr>
        <w:t xml:space="preserve">mero </w:t>
      </w:r>
      <w:r w:rsidR="00006569">
        <w:rPr>
          <w:rStyle w:val="CharacterStyle1"/>
          <w:rFonts w:ascii="Verdana" w:hAnsi="Verdana" w:cs="Verdana"/>
          <w:spacing w:val="1"/>
        </w:rPr>
        <w:t>…</w:t>
      </w:r>
      <w:r>
        <w:rPr>
          <w:rStyle w:val="CharacterStyle1"/>
          <w:rFonts w:ascii="Verdana" w:hAnsi="Verdana" w:cs="Verdana"/>
          <w:spacing w:val="1"/>
        </w:rPr>
        <w:t xml:space="preserve">, en su </w:t>
      </w:r>
      <w:r w:rsidR="00EA3869">
        <w:rPr>
          <w:rStyle w:val="CharacterStyle1"/>
          <w:rFonts w:ascii="Verdana" w:hAnsi="Verdana" w:cs="Verdana"/>
          <w:spacing w:val="1"/>
        </w:rPr>
        <w:t>condición</w:t>
      </w:r>
      <w:r>
        <w:rPr>
          <w:rStyle w:val="CharacterStyle1"/>
          <w:rFonts w:ascii="Verdana" w:hAnsi="Verdana" w:cs="Verdana"/>
          <w:spacing w:val="1"/>
        </w:rPr>
        <w:t xml:space="preserve"> de Apoderada </w:t>
      </w:r>
      <w:r w:rsidR="00EA3869">
        <w:rPr>
          <w:rStyle w:val="CharacterStyle1"/>
          <w:rFonts w:ascii="Verdana" w:hAnsi="Verdana" w:cs="Verdana"/>
          <w:spacing w:val="1"/>
        </w:rPr>
        <w:t>Generalísima</w:t>
      </w:r>
      <w:r>
        <w:rPr>
          <w:rStyle w:val="CharacterStyle1"/>
          <w:rFonts w:ascii="Verdana" w:hAnsi="Verdana" w:cs="Verdana"/>
          <w:spacing w:val="1"/>
        </w:rPr>
        <w:t xml:space="preserve"> sin </w:t>
      </w:r>
      <w:r w:rsidR="00EA3869">
        <w:rPr>
          <w:rStyle w:val="CharacterStyle1"/>
          <w:rFonts w:ascii="Verdana" w:hAnsi="Verdana" w:cs="Verdana"/>
          <w:spacing w:val="1"/>
        </w:rPr>
        <w:t>Límite</w:t>
      </w:r>
      <w:r>
        <w:rPr>
          <w:rStyle w:val="CharacterStyle1"/>
          <w:rFonts w:ascii="Verdana" w:hAnsi="Verdana" w:cs="Verdana"/>
          <w:spacing w:val="1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1"/>
        </w:rPr>
        <w:t>M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D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L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L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D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S</w:t>
      </w:r>
      <w:r w:rsidR="00EA386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 xml:space="preserve">S.A., </w:t>
      </w:r>
      <w:r w:rsidR="00EA3869">
        <w:rPr>
          <w:rStyle w:val="CharacterStyle1"/>
          <w:rFonts w:ascii="Verdana" w:hAnsi="Verdana" w:cs="Verdana"/>
          <w:spacing w:val="1"/>
        </w:rPr>
        <w:t>contra l</w:t>
      </w:r>
      <w:r>
        <w:rPr>
          <w:rStyle w:val="CharacterStyle1"/>
          <w:rFonts w:ascii="Verdana" w:hAnsi="Verdana" w:cs="Verdana"/>
          <w:spacing w:val="1"/>
        </w:rPr>
        <w:t xml:space="preserve">a </w:t>
      </w:r>
      <w:r w:rsidR="00EA3869">
        <w:rPr>
          <w:rStyle w:val="CharacterStyle1"/>
          <w:rFonts w:ascii="Verdana" w:hAnsi="Verdana" w:cs="Verdana"/>
          <w:spacing w:val="1"/>
        </w:rPr>
        <w:t>Resolución</w:t>
      </w:r>
      <w:r>
        <w:rPr>
          <w:rStyle w:val="CharacterStyle1"/>
          <w:rFonts w:ascii="Verdana" w:hAnsi="Verdana" w:cs="Verdana"/>
          <w:spacing w:val="1"/>
        </w:rPr>
        <w:t xml:space="preserve"> del Tribunal Administrativo de Transporte numero TAT-2263</w:t>
      </w:r>
      <w:r>
        <w:rPr>
          <w:rStyle w:val="CharacterStyle1"/>
          <w:rFonts w:ascii="Verdana" w:hAnsi="Verdana" w:cs="Verdana"/>
          <w:spacing w:val="1"/>
        </w:rPr>
        <w:softHyphen/>
        <w:t>2014 de las doce horas del doce de junio del dos mil catorce.</w:t>
      </w:r>
    </w:p>
    <w:p w:rsidR="00C217B7" w:rsidRDefault="00C217B7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9" w:after="509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EA3869">
        <w:rPr>
          <w:rStyle w:val="CharacterStyle1"/>
          <w:rFonts w:ascii="Verdana" w:hAnsi="Verdana" w:cs="Verdana"/>
        </w:rPr>
        <w:t>artículo 22, inciso c), de l</w:t>
      </w:r>
      <w:r>
        <w:rPr>
          <w:rStyle w:val="CharacterStyle1"/>
          <w:rFonts w:ascii="Verdana" w:hAnsi="Verdana" w:cs="Verdana"/>
        </w:rPr>
        <w:t xml:space="preserve">a citada Ley 7969, la presente </w:t>
      </w:r>
      <w:r w:rsidR="00EA3869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EA3869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EA3869" w:rsidRDefault="00EA3869" w:rsidP="00EA3869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EA3869" w:rsidRPr="005D013E" w:rsidRDefault="00EA3869" w:rsidP="00EA3869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EA3869" w:rsidRDefault="00EA3869" w:rsidP="00EA3869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C217B7" w:rsidRDefault="00EA3869" w:rsidP="00EA3869">
      <w:pPr>
        <w:pStyle w:val="Style1"/>
        <w:kinsoku w:val="0"/>
        <w:overflowPunct w:val="0"/>
        <w:autoSpaceDE/>
        <w:autoSpaceDN/>
        <w:adjustRightInd/>
        <w:spacing w:before="259" w:after="509" w:line="256" w:lineRule="exact"/>
        <w:ind w:right="576"/>
        <w:jc w:val="both"/>
        <w:textAlignment w:val="baseline"/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</w:t>
      </w:r>
      <w:r>
        <w:rPr>
          <w:rStyle w:val="CharacterStyle1"/>
          <w:rFonts w:ascii="Verdana" w:hAnsi="Verdana" w:cs="Verdana"/>
          <w:b/>
          <w:bCs/>
        </w:rPr>
        <w:t xml:space="preserve">                    </w:t>
      </w:r>
      <w:r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 xml:space="preserve">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  <w:r w:rsidR="004D6E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in;height:223.95pt;z-index:-25165619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C217B7" w:rsidRDefault="00C217B7"/>
              </w:txbxContent>
            </v:textbox>
          </v:shape>
        </w:pict>
      </w:r>
      <w:r w:rsidR="004D6E5C">
        <w:rPr>
          <w:noProof/>
        </w:rPr>
        <w:pict>
          <v:shape id="_x0000_s1031" type="#_x0000_t202" style="position:absolute;left:0;text-align:left;margin-left:104.9pt;margin-top:14.9pt;width:.95pt;height:8.6pt;z-index:251663360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C217B7" w:rsidRDefault="00C217B7"/>
              </w:txbxContent>
            </v:textbox>
          </v:shape>
        </w:pict>
      </w:r>
    </w:p>
    <w:p w:rsidR="00C217B7" w:rsidRDefault="00C217B7">
      <w:pPr>
        <w:widowControl/>
        <w:kinsoku/>
        <w:overflowPunct/>
        <w:autoSpaceDE w:val="0"/>
        <w:autoSpaceDN w:val="0"/>
        <w:adjustRightInd w:val="0"/>
        <w:textAlignment w:val="auto"/>
        <w:sectPr w:rsidR="00C217B7">
          <w:pgSz w:w="12120" w:h="15840"/>
          <w:pgMar w:top="1220" w:right="1469" w:bottom="250" w:left="2011" w:header="720" w:footer="720" w:gutter="0"/>
          <w:cols w:space="720"/>
          <w:noEndnote/>
        </w:sectPr>
      </w:pPr>
    </w:p>
    <w:p w:rsidR="00C217B7" w:rsidRDefault="00C217B7" w:rsidP="00EA3869">
      <w:pPr>
        <w:pStyle w:val="Style1"/>
        <w:kinsoku w:val="0"/>
        <w:overflowPunct w:val="0"/>
        <w:autoSpaceDE/>
        <w:autoSpaceDN/>
        <w:adjustRightInd/>
        <w:spacing w:before="87" w:line="256" w:lineRule="exact"/>
        <w:textAlignment w:val="baseline"/>
        <w:rPr>
          <w:rStyle w:val="CharacterStyle1"/>
          <w:spacing w:val="8"/>
          <w:sz w:val="21"/>
          <w:szCs w:val="21"/>
        </w:rPr>
      </w:pPr>
    </w:p>
    <w:sectPr w:rsidR="00C217B7" w:rsidSect="004D6E5C">
      <w:type w:val="continuous"/>
      <w:pgSz w:w="12120" w:h="15840"/>
      <w:pgMar w:top="1220" w:right="2070" w:bottom="250" w:left="73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A2D0"/>
    <w:multiLevelType w:val="singleLevel"/>
    <w:tmpl w:val="135E9FE9"/>
    <w:lvl w:ilvl="0">
      <w:start w:val="1"/>
      <w:numFmt w:val="upperRoman"/>
      <w:lvlText w:val="%1.-"/>
      <w:lvlJc w:val="left"/>
      <w:pPr>
        <w:tabs>
          <w:tab w:val="num" w:pos="648"/>
        </w:tabs>
      </w:pPr>
      <w:rPr>
        <w:rFonts w:ascii="Verdana" w:hAnsi="Verdana" w:cs="Verdana"/>
        <w:snapToGrid/>
        <w:spacing w:val="1"/>
        <w:sz w:val="20"/>
        <w:szCs w:val="20"/>
      </w:rPr>
    </w:lvl>
  </w:abstractNum>
  <w:abstractNum w:abstractNumId="1">
    <w:nsid w:val="0139247D"/>
    <w:multiLevelType w:val="hybridMultilevel"/>
    <w:tmpl w:val="EC82C2A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D2FE87"/>
    <w:multiLevelType w:val="singleLevel"/>
    <w:tmpl w:val="6DA4CA5E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Verdana" w:hAnsi="Verdana" w:cs="Verdana"/>
        <w:snapToGrid/>
        <w:sz w:val="20"/>
        <w:szCs w:val="20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771A23"/>
    <w:rsid w:val="00006569"/>
    <w:rsid w:val="001A6FB5"/>
    <w:rsid w:val="004D6E5C"/>
    <w:rsid w:val="00771A23"/>
    <w:rsid w:val="00C217B7"/>
    <w:rsid w:val="00EA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5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D6E5C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4D6E5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2014-08-19T20:40:00Z</dcterms:created>
  <dcterms:modified xsi:type="dcterms:W3CDTF">2015-07-01T17:06:00Z</dcterms:modified>
</cp:coreProperties>
</file>